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B8B43" w14:textId="77777777" w:rsidR="00290CA0" w:rsidRPr="00954AA9" w:rsidRDefault="00290CA0" w:rsidP="008310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AA9">
        <w:rPr>
          <w:rFonts w:ascii="Times New Roman" w:hAnsi="Times New Roman" w:cs="Times New Roman"/>
          <w:b/>
          <w:sz w:val="28"/>
          <w:szCs w:val="28"/>
        </w:rPr>
        <w:t>Мониторинг результатов освоения дополнительной общеобразовательной общеразвивающей программы "Юный художник" (2021–2026 гг.)</w:t>
      </w:r>
    </w:p>
    <w:p w14:paraId="3C0A6175" w14:textId="77777777" w:rsidR="00DA3D2D" w:rsidRDefault="00DA3D2D" w:rsidP="0083100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549905B" w14:textId="77777777" w:rsidR="00290CA0" w:rsidRPr="00290CA0" w:rsidRDefault="00290CA0" w:rsidP="00954AA9">
      <w:pPr>
        <w:contextualSpacing/>
        <w:rPr>
          <w:rFonts w:ascii="Times New Roman" w:hAnsi="Times New Roman" w:cs="Times New Roman"/>
          <w:sz w:val="28"/>
          <w:szCs w:val="28"/>
        </w:rPr>
      </w:pPr>
      <w:r w:rsidRPr="00290CA0">
        <w:rPr>
          <w:rFonts w:ascii="Times New Roman" w:hAnsi="Times New Roman" w:cs="Times New Roman"/>
          <w:sz w:val="28"/>
          <w:szCs w:val="28"/>
        </w:rPr>
        <w:t>Возраст обучающихся: 11–15 лет (подростковый возраст)</w:t>
      </w:r>
    </w:p>
    <w:p w14:paraId="2233DE82" w14:textId="77777777" w:rsidR="00290CA0" w:rsidRPr="00290CA0" w:rsidRDefault="00290CA0" w:rsidP="00954AA9">
      <w:pPr>
        <w:contextualSpacing/>
        <w:rPr>
          <w:rFonts w:ascii="Times New Roman" w:hAnsi="Times New Roman" w:cs="Times New Roman"/>
          <w:sz w:val="28"/>
          <w:szCs w:val="28"/>
        </w:rPr>
      </w:pPr>
      <w:r w:rsidRPr="00290CA0">
        <w:rPr>
          <w:rFonts w:ascii="Times New Roman" w:hAnsi="Times New Roman" w:cs="Times New Roman"/>
          <w:sz w:val="28"/>
          <w:szCs w:val="28"/>
        </w:rPr>
        <w:t>Направленность программы: художественно-эстетическая (академический рисунок, законы композиции, декоративно-прикладное и</w:t>
      </w:r>
      <w:r w:rsidR="00DA3D2D">
        <w:rPr>
          <w:rFonts w:ascii="Times New Roman" w:hAnsi="Times New Roman" w:cs="Times New Roman"/>
          <w:sz w:val="28"/>
          <w:szCs w:val="28"/>
        </w:rPr>
        <w:t>скусство</w:t>
      </w:r>
      <w:r w:rsidRPr="00290CA0">
        <w:rPr>
          <w:rFonts w:ascii="Times New Roman" w:hAnsi="Times New Roman" w:cs="Times New Roman"/>
          <w:sz w:val="28"/>
          <w:szCs w:val="28"/>
        </w:rPr>
        <w:t>)</w:t>
      </w:r>
    </w:p>
    <w:p w14:paraId="3AEBE6FC" w14:textId="77777777" w:rsidR="00290CA0" w:rsidRPr="00290CA0" w:rsidRDefault="00290CA0" w:rsidP="00954AA9">
      <w:pPr>
        <w:contextualSpacing/>
        <w:rPr>
          <w:rFonts w:ascii="Times New Roman" w:hAnsi="Times New Roman" w:cs="Times New Roman"/>
          <w:sz w:val="28"/>
          <w:szCs w:val="28"/>
        </w:rPr>
      </w:pPr>
      <w:r w:rsidRPr="00290CA0">
        <w:rPr>
          <w:rFonts w:ascii="Times New Roman" w:hAnsi="Times New Roman" w:cs="Times New Roman"/>
          <w:sz w:val="28"/>
          <w:szCs w:val="28"/>
        </w:rPr>
        <w:t>Педагогический мониторинг включает три основных блока планируемых результатов: предметные, метапредметные и личностные. Оценка производится по степени выраженности качества (от низкого до высокого уровня), которым соответствуют определенные баллы (1–10 баллов).</w:t>
      </w:r>
    </w:p>
    <w:p w14:paraId="07092F83" w14:textId="77777777" w:rsidR="00290CA0" w:rsidRPr="00290CA0" w:rsidRDefault="00290CA0" w:rsidP="00954AA9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06705F87" w14:textId="77777777" w:rsidR="00290CA0" w:rsidRPr="00DA3D2D" w:rsidRDefault="00290CA0" w:rsidP="00DA3D2D">
      <w:pPr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3D2D">
        <w:rPr>
          <w:rFonts w:ascii="Times New Roman" w:hAnsi="Times New Roman" w:cs="Times New Roman"/>
          <w:b/>
          <w:sz w:val="32"/>
          <w:szCs w:val="32"/>
        </w:rPr>
        <w:t>Сводная таблица мониторинга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284"/>
        <w:gridCol w:w="1984"/>
        <w:gridCol w:w="2533"/>
        <w:gridCol w:w="161"/>
        <w:gridCol w:w="992"/>
        <w:gridCol w:w="2352"/>
      </w:tblGrid>
      <w:tr w:rsidR="00290CA0" w:rsidRPr="0083100C" w14:paraId="6EF2704C" w14:textId="77777777" w:rsidTr="00807D25">
        <w:tc>
          <w:tcPr>
            <w:tcW w:w="2376" w:type="dxa"/>
            <w:hideMark/>
          </w:tcPr>
          <w:p w14:paraId="200D7498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(оцениваемые параметры)</w:t>
            </w:r>
          </w:p>
        </w:tc>
        <w:tc>
          <w:tcPr>
            <w:tcW w:w="2268" w:type="dxa"/>
            <w:gridSpan w:val="2"/>
            <w:hideMark/>
          </w:tcPr>
          <w:p w14:paraId="3F3EA7B0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2533" w:type="dxa"/>
            <w:hideMark/>
          </w:tcPr>
          <w:p w14:paraId="61B3D4D1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b/>
                <w:sz w:val="24"/>
                <w:szCs w:val="24"/>
              </w:rPr>
              <w:t>Степени выраженности оцениваемого качества</w:t>
            </w:r>
          </w:p>
        </w:tc>
        <w:tc>
          <w:tcPr>
            <w:tcW w:w="1153" w:type="dxa"/>
            <w:gridSpan w:val="2"/>
            <w:hideMark/>
          </w:tcPr>
          <w:p w14:paraId="4AF83383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b/>
                <w:sz w:val="24"/>
                <w:szCs w:val="24"/>
              </w:rPr>
              <w:t>Возможное кол-во баллов</w:t>
            </w:r>
          </w:p>
        </w:tc>
        <w:tc>
          <w:tcPr>
            <w:tcW w:w="2352" w:type="dxa"/>
            <w:hideMark/>
          </w:tcPr>
          <w:p w14:paraId="2EDCFD69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b/>
                <w:sz w:val="24"/>
                <w:szCs w:val="24"/>
              </w:rPr>
              <w:t>Методы диагностики</w:t>
            </w:r>
          </w:p>
        </w:tc>
      </w:tr>
      <w:tr w:rsidR="00290CA0" w:rsidRPr="0083100C" w14:paraId="36153A50" w14:textId="77777777" w:rsidTr="00DA3D2D">
        <w:tc>
          <w:tcPr>
            <w:tcW w:w="10682" w:type="dxa"/>
            <w:gridSpan w:val="7"/>
            <w:hideMark/>
          </w:tcPr>
          <w:p w14:paraId="65CAF491" w14:textId="77777777" w:rsidR="00290CA0" w:rsidRPr="0083100C" w:rsidRDefault="00290CA0" w:rsidP="00954AA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РЕЗУЛЬТАТЫ</w:t>
            </w:r>
          </w:p>
        </w:tc>
      </w:tr>
      <w:tr w:rsidR="00290CA0" w:rsidRPr="0083100C" w14:paraId="4856D0D8" w14:textId="77777777" w:rsidTr="00807D25">
        <w:tc>
          <w:tcPr>
            <w:tcW w:w="2376" w:type="dxa"/>
            <w:hideMark/>
          </w:tcPr>
          <w:p w14:paraId="676AEE85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Знание видов и жанров изобразительного искусства</w:t>
            </w:r>
          </w:p>
        </w:tc>
        <w:tc>
          <w:tcPr>
            <w:tcW w:w="2268" w:type="dxa"/>
            <w:gridSpan w:val="2"/>
            <w:hideMark/>
          </w:tcPr>
          <w:p w14:paraId="0C4D4DE5" w14:textId="77777777" w:rsidR="00290CA0" w:rsidRPr="0083100C" w:rsidRDefault="00DA3D2D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 xml:space="preserve">Знание и различие </w:t>
            </w:r>
            <w:r w:rsidR="00290CA0" w:rsidRPr="0083100C">
              <w:rPr>
                <w:rFonts w:ascii="Times New Roman" w:hAnsi="Times New Roman" w:cs="Times New Roman"/>
                <w:sz w:val="24"/>
                <w:szCs w:val="24"/>
              </w:rPr>
              <w:t>жанров (портрет, пейзаж, натюрморт, анималистика), видов и направлений искусства</w:t>
            </w:r>
          </w:p>
        </w:tc>
        <w:tc>
          <w:tcPr>
            <w:tcW w:w="2533" w:type="dxa"/>
            <w:hideMark/>
          </w:tcPr>
          <w:p w14:paraId="0CB1FB0C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– низкий: формально знает жанры, путает их, не различает приемы;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знает жанры и правила, но применяет их шаблонно;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свободно оперирует понятиями, различает стили и направления, использует знания в собственной практике.</w:t>
            </w:r>
          </w:p>
        </w:tc>
        <w:tc>
          <w:tcPr>
            <w:tcW w:w="1153" w:type="dxa"/>
            <w:gridSpan w:val="2"/>
            <w:hideMark/>
          </w:tcPr>
          <w:p w14:paraId="22F8BF52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2352" w:type="dxa"/>
            <w:hideMark/>
          </w:tcPr>
          <w:p w14:paraId="3BD07CF7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Беседа, искусствоведческий анализ, тестирование</w:t>
            </w:r>
          </w:p>
        </w:tc>
      </w:tr>
      <w:tr w:rsidR="00290CA0" w:rsidRPr="0083100C" w14:paraId="6230C488" w14:textId="77777777" w:rsidTr="00807D25">
        <w:tc>
          <w:tcPr>
            <w:tcW w:w="2376" w:type="dxa"/>
            <w:hideMark/>
          </w:tcPr>
          <w:p w14:paraId="4596C263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Владение законами композиции</w:t>
            </w:r>
          </w:p>
        </w:tc>
        <w:tc>
          <w:tcPr>
            <w:tcW w:w="2268" w:type="dxa"/>
            <w:gridSpan w:val="2"/>
            <w:hideMark/>
          </w:tcPr>
          <w:p w14:paraId="43AC3A97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Применение ритма, контраста, статики и динамики, работа с планом и цветовым нюансом</w:t>
            </w:r>
          </w:p>
        </w:tc>
        <w:tc>
          <w:tcPr>
            <w:tcW w:w="2533" w:type="dxa"/>
            <w:hideMark/>
          </w:tcPr>
          <w:p w14:paraId="4150788A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– низкий: композиция случайна, нет работы с планом или цветовым нюансом;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знает правила композиции, но применяет их шаблонно;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свободно оперирует законами композиции, создает экспрессивные и осознанные композиционные решения.</w:t>
            </w:r>
          </w:p>
        </w:tc>
        <w:tc>
          <w:tcPr>
            <w:tcW w:w="1153" w:type="dxa"/>
            <w:gridSpan w:val="2"/>
            <w:hideMark/>
          </w:tcPr>
          <w:p w14:paraId="472D1D20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2352" w:type="dxa"/>
            <w:hideMark/>
          </w:tcPr>
          <w:p w14:paraId="28C32A0C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 xml:space="preserve">Анализ творческих работ, защита </w:t>
            </w:r>
            <w:r w:rsidR="00DA3D2D" w:rsidRPr="0083100C">
              <w:rPr>
                <w:rFonts w:ascii="Times New Roman" w:hAnsi="Times New Roman" w:cs="Times New Roman"/>
                <w:sz w:val="24"/>
                <w:szCs w:val="24"/>
              </w:rPr>
              <w:t>творческой работы</w:t>
            </w:r>
          </w:p>
        </w:tc>
      </w:tr>
      <w:tr w:rsidR="00290CA0" w:rsidRPr="0083100C" w14:paraId="6B2CDBB4" w14:textId="77777777" w:rsidTr="00807D25">
        <w:tc>
          <w:tcPr>
            <w:tcW w:w="2376" w:type="dxa"/>
            <w:hideMark/>
          </w:tcPr>
          <w:p w14:paraId="03F07BC3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Владение техниками декоративно-прикладного искусства</w:t>
            </w:r>
          </w:p>
        </w:tc>
        <w:tc>
          <w:tcPr>
            <w:tcW w:w="2268" w:type="dxa"/>
            <w:gridSpan w:val="2"/>
            <w:hideMark/>
          </w:tcPr>
          <w:p w14:paraId="3BC89FF6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Владение техниками Д</w:t>
            </w:r>
            <w:r w:rsidR="00DA3D2D" w:rsidRPr="0083100C">
              <w:rPr>
                <w:rFonts w:ascii="Times New Roman" w:hAnsi="Times New Roman" w:cs="Times New Roman"/>
                <w:sz w:val="24"/>
                <w:szCs w:val="24"/>
              </w:rPr>
              <w:t>ПИ (витражная роспись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стилизация и др.)</w:t>
            </w:r>
          </w:p>
        </w:tc>
        <w:tc>
          <w:tcPr>
            <w:tcW w:w="2533" w:type="dxa"/>
            <w:hideMark/>
          </w:tcPr>
          <w:p w14:paraId="1AAD7C15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низкий: путает приемы ДПИ, техника исполнения небрежная;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средний: владеет 1–2 техниками ДПИ с периодической помощью педагога;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уверенно владеет 3 и более техниками ДПИ, интегрируя их с академическим рисунком.</w:t>
            </w:r>
          </w:p>
        </w:tc>
        <w:tc>
          <w:tcPr>
            <w:tcW w:w="1153" w:type="dxa"/>
            <w:gridSpan w:val="2"/>
            <w:hideMark/>
          </w:tcPr>
          <w:p w14:paraId="0C7DF1B2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1–4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2352" w:type="dxa"/>
            <w:hideMark/>
          </w:tcPr>
          <w:p w14:paraId="56ADF8C1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Анализ творческих работ, практическое задание</w:t>
            </w:r>
          </w:p>
        </w:tc>
      </w:tr>
      <w:tr w:rsidR="00290CA0" w:rsidRPr="0083100C" w14:paraId="6AE35062" w14:textId="77777777" w:rsidTr="00807D25">
        <w:tc>
          <w:tcPr>
            <w:tcW w:w="2376" w:type="dxa"/>
            <w:hideMark/>
          </w:tcPr>
          <w:p w14:paraId="32F56F32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Академический рисунок и работа с натурой</w:t>
            </w:r>
          </w:p>
        </w:tc>
        <w:tc>
          <w:tcPr>
            <w:tcW w:w="2268" w:type="dxa"/>
            <w:gridSpan w:val="2"/>
            <w:hideMark/>
          </w:tcPr>
          <w:p w14:paraId="0CB78CBC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Умение анализировать форму, строить пропорции, передавать объем и светотень</w:t>
            </w:r>
          </w:p>
        </w:tc>
        <w:tc>
          <w:tcPr>
            <w:tcW w:w="2533" w:type="dxa"/>
            <w:hideMark/>
          </w:tcPr>
          <w:p w14:paraId="789ECB48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– низкий: копирует образец без понимания, не работает с натурой;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выполняет академические задания по образцу, допускает неточности в пропорциях;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выполняет аналитический рисунок с натуры, уверенно строит форму, передает объем и характер.</w:t>
            </w:r>
          </w:p>
        </w:tc>
        <w:tc>
          <w:tcPr>
            <w:tcW w:w="1153" w:type="dxa"/>
            <w:gridSpan w:val="2"/>
            <w:hideMark/>
          </w:tcPr>
          <w:p w14:paraId="7EE971D4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2352" w:type="dxa"/>
            <w:hideMark/>
          </w:tcPr>
          <w:p w14:paraId="5CC0C8C7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Анализ творческих работ, рисунок с натуры</w:t>
            </w:r>
          </w:p>
        </w:tc>
      </w:tr>
      <w:tr w:rsidR="00290CA0" w:rsidRPr="0083100C" w14:paraId="708B2B9F" w14:textId="77777777" w:rsidTr="00807D25">
        <w:tc>
          <w:tcPr>
            <w:tcW w:w="2376" w:type="dxa"/>
            <w:hideMark/>
          </w:tcPr>
          <w:p w14:paraId="2D8FB47E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Авторский стиль и выразительность</w:t>
            </w:r>
          </w:p>
        </w:tc>
        <w:tc>
          <w:tcPr>
            <w:tcW w:w="2268" w:type="dxa"/>
            <w:gridSpan w:val="2"/>
            <w:hideMark/>
          </w:tcPr>
          <w:p w14:paraId="7D0C0708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Наличие индивидуального почерка, художественной выразительности работ</w:t>
            </w:r>
          </w:p>
        </w:tc>
        <w:tc>
          <w:tcPr>
            <w:tcW w:w="2533" w:type="dxa"/>
            <w:hideMark/>
          </w:tcPr>
          <w:p w14:paraId="5176C620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– низкий: копирует образец без понимания, нет авторской выразительности;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работа аккуратная, но нет яркой авторской выразительности;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работы имеют ярко выраженный авторский стиль, высокое техническое качество, достойны выставок.</w:t>
            </w:r>
          </w:p>
        </w:tc>
        <w:tc>
          <w:tcPr>
            <w:tcW w:w="1153" w:type="dxa"/>
            <w:gridSpan w:val="2"/>
            <w:hideMark/>
          </w:tcPr>
          <w:p w14:paraId="549B9C28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2352" w:type="dxa"/>
            <w:hideMark/>
          </w:tcPr>
          <w:p w14:paraId="70C27EE6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Анализ творческих работ, портфолио</w:t>
            </w:r>
          </w:p>
        </w:tc>
      </w:tr>
      <w:tr w:rsidR="00290CA0" w:rsidRPr="0083100C" w14:paraId="515CC78D" w14:textId="77777777" w:rsidTr="00DA3D2D">
        <w:tc>
          <w:tcPr>
            <w:tcW w:w="10682" w:type="dxa"/>
            <w:gridSpan w:val="7"/>
            <w:hideMark/>
          </w:tcPr>
          <w:p w14:paraId="26156C86" w14:textId="77777777" w:rsidR="00290CA0" w:rsidRPr="0083100C" w:rsidRDefault="00290CA0" w:rsidP="00DA3D2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b/>
                <w:sz w:val="24"/>
                <w:szCs w:val="24"/>
              </w:rPr>
              <w:t>Динамика итоговых результатов за 2021–2026 гг.</w:t>
            </w:r>
          </w:p>
          <w:p w14:paraId="1EF10A9A" w14:textId="77777777" w:rsidR="00290CA0" w:rsidRPr="0083100C" w:rsidRDefault="00290CA0" w:rsidP="00DA3D2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результаты</w:t>
            </w:r>
          </w:p>
          <w:p w14:paraId="20307915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(Жанры, композиция, ДПИ, академический рисунок, авторский стиль)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88"/>
              <w:gridCol w:w="1476"/>
              <w:gridCol w:w="1476"/>
              <w:gridCol w:w="1476"/>
              <w:gridCol w:w="1476"/>
              <w:gridCol w:w="1476"/>
            </w:tblGrid>
            <w:tr w:rsidR="00290CA0" w:rsidRPr="0083100C" w14:paraId="220BD6B7" w14:textId="77777777" w:rsidTr="00DA3D2D">
              <w:tc>
                <w:tcPr>
                  <w:tcW w:w="2388" w:type="dxa"/>
                  <w:hideMark/>
                </w:tcPr>
                <w:p w14:paraId="7EA1EAE0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Уровень освоения</w:t>
                  </w:r>
                </w:p>
              </w:tc>
              <w:tc>
                <w:tcPr>
                  <w:tcW w:w="1476" w:type="dxa"/>
                  <w:hideMark/>
                </w:tcPr>
                <w:p w14:paraId="24BC81D2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2021–2022</w:t>
                  </w:r>
                </w:p>
              </w:tc>
              <w:tc>
                <w:tcPr>
                  <w:tcW w:w="1476" w:type="dxa"/>
                  <w:hideMark/>
                </w:tcPr>
                <w:p w14:paraId="6ECD253C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2022–2023</w:t>
                  </w:r>
                </w:p>
              </w:tc>
              <w:tc>
                <w:tcPr>
                  <w:tcW w:w="1476" w:type="dxa"/>
                  <w:hideMark/>
                </w:tcPr>
                <w:p w14:paraId="4F1A67BB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2023–2024</w:t>
                  </w:r>
                </w:p>
              </w:tc>
              <w:tc>
                <w:tcPr>
                  <w:tcW w:w="1476" w:type="dxa"/>
                  <w:hideMark/>
                </w:tcPr>
                <w:p w14:paraId="430A515E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2024–2025</w:t>
                  </w:r>
                </w:p>
              </w:tc>
              <w:tc>
                <w:tcPr>
                  <w:tcW w:w="1476" w:type="dxa"/>
                  <w:hideMark/>
                </w:tcPr>
                <w:p w14:paraId="7DE05438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2025–2026</w:t>
                  </w:r>
                </w:p>
              </w:tc>
            </w:tr>
            <w:tr w:rsidR="00290CA0" w:rsidRPr="0083100C" w14:paraId="362F7159" w14:textId="77777777" w:rsidTr="00DA3D2D">
              <w:tc>
                <w:tcPr>
                  <w:tcW w:w="2388" w:type="dxa"/>
                  <w:hideMark/>
                </w:tcPr>
                <w:p w14:paraId="3B38F363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Высокий уровень</w:t>
                  </w:r>
                </w:p>
              </w:tc>
              <w:tc>
                <w:tcPr>
                  <w:tcW w:w="1476" w:type="dxa"/>
                  <w:hideMark/>
                </w:tcPr>
                <w:p w14:paraId="12DDECB1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25%</w:t>
                  </w:r>
                </w:p>
              </w:tc>
              <w:tc>
                <w:tcPr>
                  <w:tcW w:w="1476" w:type="dxa"/>
                  <w:hideMark/>
                </w:tcPr>
                <w:p w14:paraId="66CDFFF7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40%</w:t>
                  </w:r>
                </w:p>
              </w:tc>
              <w:tc>
                <w:tcPr>
                  <w:tcW w:w="1476" w:type="dxa"/>
                  <w:hideMark/>
                </w:tcPr>
                <w:p w14:paraId="07E19361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55%</w:t>
                  </w:r>
                </w:p>
              </w:tc>
              <w:tc>
                <w:tcPr>
                  <w:tcW w:w="1476" w:type="dxa"/>
                  <w:hideMark/>
                </w:tcPr>
                <w:p w14:paraId="73DFB23F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70%</w:t>
                  </w:r>
                </w:p>
              </w:tc>
              <w:tc>
                <w:tcPr>
                  <w:tcW w:w="1476" w:type="dxa"/>
                  <w:hideMark/>
                </w:tcPr>
                <w:p w14:paraId="67C61C10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85%</w:t>
                  </w:r>
                </w:p>
              </w:tc>
            </w:tr>
            <w:tr w:rsidR="00290CA0" w:rsidRPr="0083100C" w14:paraId="377A4B4D" w14:textId="77777777" w:rsidTr="00DA3D2D">
              <w:tc>
                <w:tcPr>
                  <w:tcW w:w="2388" w:type="dxa"/>
                  <w:hideMark/>
                </w:tcPr>
                <w:p w14:paraId="551C2D83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Средний уровень</w:t>
                  </w:r>
                </w:p>
              </w:tc>
              <w:tc>
                <w:tcPr>
                  <w:tcW w:w="1476" w:type="dxa"/>
                  <w:hideMark/>
                </w:tcPr>
                <w:p w14:paraId="350ACDB0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55%</w:t>
                  </w:r>
                </w:p>
              </w:tc>
              <w:tc>
                <w:tcPr>
                  <w:tcW w:w="1476" w:type="dxa"/>
                  <w:hideMark/>
                </w:tcPr>
                <w:p w14:paraId="7A819D45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50%</w:t>
                  </w:r>
                </w:p>
              </w:tc>
              <w:tc>
                <w:tcPr>
                  <w:tcW w:w="1476" w:type="dxa"/>
                  <w:hideMark/>
                </w:tcPr>
                <w:p w14:paraId="597B5315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40%</w:t>
                  </w:r>
                </w:p>
              </w:tc>
              <w:tc>
                <w:tcPr>
                  <w:tcW w:w="1476" w:type="dxa"/>
                  <w:hideMark/>
                </w:tcPr>
                <w:p w14:paraId="6B2F1F92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30%</w:t>
                  </w:r>
                </w:p>
              </w:tc>
              <w:tc>
                <w:tcPr>
                  <w:tcW w:w="1476" w:type="dxa"/>
                  <w:hideMark/>
                </w:tcPr>
                <w:p w14:paraId="09DB272B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15%</w:t>
                  </w:r>
                </w:p>
              </w:tc>
            </w:tr>
            <w:tr w:rsidR="00290CA0" w:rsidRPr="0083100C" w14:paraId="6F453B60" w14:textId="77777777" w:rsidTr="00DA3D2D">
              <w:tc>
                <w:tcPr>
                  <w:tcW w:w="2388" w:type="dxa"/>
                  <w:hideMark/>
                </w:tcPr>
                <w:p w14:paraId="69A7A907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Низкий уровень</w:t>
                  </w:r>
                </w:p>
              </w:tc>
              <w:tc>
                <w:tcPr>
                  <w:tcW w:w="1476" w:type="dxa"/>
                  <w:hideMark/>
                </w:tcPr>
                <w:p w14:paraId="600C6C80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20%</w:t>
                  </w:r>
                </w:p>
              </w:tc>
              <w:tc>
                <w:tcPr>
                  <w:tcW w:w="1476" w:type="dxa"/>
                  <w:hideMark/>
                </w:tcPr>
                <w:p w14:paraId="57AB471C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10%</w:t>
                  </w:r>
                </w:p>
              </w:tc>
              <w:tc>
                <w:tcPr>
                  <w:tcW w:w="1476" w:type="dxa"/>
                  <w:hideMark/>
                </w:tcPr>
                <w:p w14:paraId="60D3EA7E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5%</w:t>
                  </w:r>
                </w:p>
              </w:tc>
              <w:tc>
                <w:tcPr>
                  <w:tcW w:w="1476" w:type="dxa"/>
                  <w:hideMark/>
                </w:tcPr>
                <w:p w14:paraId="3CD7BE23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0%</w:t>
                  </w:r>
                </w:p>
              </w:tc>
              <w:tc>
                <w:tcPr>
                  <w:tcW w:w="1476" w:type="dxa"/>
                  <w:hideMark/>
                </w:tcPr>
                <w:p w14:paraId="3BA620CD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0%</w:t>
                  </w:r>
                </w:p>
              </w:tc>
            </w:tr>
          </w:tbl>
          <w:p w14:paraId="4E03C916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462A89" w14:textId="77777777" w:rsidR="00290CA0" w:rsidRPr="0083100C" w:rsidRDefault="00290CA0" w:rsidP="00954A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56D4C939" wp14:editId="3C3884AC">
                  <wp:extent cx="5060950" cy="2743200"/>
                  <wp:effectExtent l="19050" t="0" r="25400" b="0"/>
                  <wp:docPr id="4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  <w:p w14:paraId="58DA7F91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CA0" w:rsidRPr="0083100C" w14:paraId="5CE81469" w14:textId="77777777" w:rsidTr="00DA3D2D">
        <w:tc>
          <w:tcPr>
            <w:tcW w:w="10682" w:type="dxa"/>
            <w:gridSpan w:val="7"/>
            <w:hideMark/>
          </w:tcPr>
          <w:p w14:paraId="6F604FF3" w14:textId="77777777" w:rsidR="00290CA0" w:rsidRPr="0083100C" w:rsidRDefault="00290CA0" w:rsidP="00954AA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МЕТАПРЕДМЕТНЫЕ РЕЗУЛЬТАТЫ</w:t>
            </w:r>
          </w:p>
        </w:tc>
      </w:tr>
      <w:tr w:rsidR="00290CA0" w:rsidRPr="0083100C" w14:paraId="7D9CF645" w14:textId="77777777" w:rsidTr="00807D25">
        <w:tc>
          <w:tcPr>
            <w:tcW w:w="2660" w:type="dxa"/>
            <w:gridSpan w:val="2"/>
            <w:hideMark/>
          </w:tcPr>
          <w:p w14:paraId="4E63F927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Проектирование и разработка эскиза</w:t>
            </w:r>
          </w:p>
        </w:tc>
        <w:tc>
          <w:tcPr>
            <w:tcW w:w="1984" w:type="dxa"/>
            <w:hideMark/>
          </w:tcPr>
          <w:p w14:paraId="6C5A346B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Способность самостоятельно разработать эскиз, создать серию вариантов, выбрать оптимальный</w:t>
            </w:r>
          </w:p>
        </w:tc>
        <w:tc>
          <w:tcPr>
            <w:tcW w:w="2694" w:type="dxa"/>
            <w:gridSpan w:val="2"/>
            <w:hideMark/>
          </w:tcPr>
          <w:p w14:paraId="5B99D23F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– низкий: не может самостоятельно разработать эскиз;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разрабатывает эскиз по предложенному алгоритму;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самостоятельно формулирует художественную задачу, создает серию эскизов, выбирает оптимальный.</w:t>
            </w:r>
          </w:p>
        </w:tc>
        <w:tc>
          <w:tcPr>
            <w:tcW w:w="992" w:type="dxa"/>
            <w:hideMark/>
          </w:tcPr>
          <w:p w14:paraId="3723B1F3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2352" w:type="dxa"/>
            <w:hideMark/>
          </w:tcPr>
          <w:p w14:paraId="6F6E82CD" w14:textId="464EFF45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 xml:space="preserve">Анализ эскизов, защита </w:t>
            </w:r>
            <w:r w:rsidR="0083100C" w:rsidRPr="0083100C">
              <w:rPr>
                <w:rFonts w:ascii="Times New Roman" w:hAnsi="Times New Roman" w:cs="Times New Roman"/>
                <w:sz w:val="24"/>
                <w:szCs w:val="24"/>
              </w:rPr>
              <w:t>творческой работы</w:t>
            </w:r>
          </w:p>
        </w:tc>
      </w:tr>
      <w:tr w:rsidR="00290CA0" w:rsidRPr="0083100C" w14:paraId="24AC409D" w14:textId="77777777" w:rsidTr="00807D25">
        <w:tc>
          <w:tcPr>
            <w:tcW w:w="2660" w:type="dxa"/>
            <w:gridSpan w:val="2"/>
            <w:hideMark/>
          </w:tcPr>
          <w:p w14:paraId="09A0A264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Планирование многоступенчатой работы</w:t>
            </w:r>
          </w:p>
        </w:tc>
        <w:tc>
          <w:tcPr>
            <w:tcW w:w="1984" w:type="dxa"/>
            <w:hideMark/>
          </w:tcPr>
          <w:p w14:paraId="72828A67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Умение планировать этапы работы (эскиз – перевод – подмалевок – детали), соблюдать сроки</w:t>
            </w:r>
          </w:p>
        </w:tc>
        <w:tc>
          <w:tcPr>
            <w:tcW w:w="2694" w:type="dxa"/>
            <w:gridSpan w:val="2"/>
            <w:hideMark/>
          </w:tcPr>
          <w:p w14:paraId="1504747A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– низкий: не доводит работу до конца без жесткого контроля;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допускает ошибки в планировании времени, но завершает работу;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самостоятельно планирует этапы, соблюдает технологическую последовательность, укладывается в сроки.</w:t>
            </w:r>
          </w:p>
        </w:tc>
        <w:tc>
          <w:tcPr>
            <w:tcW w:w="992" w:type="dxa"/>
            <w:hideMark/>
          </w:tcPr>
          <w:p w14:paraId="66F524E4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2352" w:type="dxa"/>
            <w:hideMark/>
          </w:tcPr>
          <w:p w14:paraId="65951DFC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Наблюдение, анализ технологических карт</w:t>
            </w:r>
          </w:p>
        </w:tc>
      </w:tr>
      <w:tr w:rsidR="00290CA0" w:rsidRPr="0083100C" w14:paraId="3EED3E2D" w14:textId="77777777" w:rsidTr="00807D25">
        <w:tc>
          <w:tcPr>
            <w:tcW w:w="2660" w:type="dxa"/>
            <w:gridSpan w:val="2"/>
            <w:hideMark/>
          </w:tcPr>
          <w:p w14:paraId="7F37885E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Искусствоведческий анализ</w:t>
            </w:r>
          </w:p>
        </w:tc>
        <w:tc>
          <w:tcPr>
            <w:tcW w:w="1984" w:type="dxa"/>
            <w:hideMark/>
          </w:tcPr>
          <w:p w14:paraId="10778D57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Умение анализировать чужие и свои работы, используя искусствоведческие термины</w:t>
            </w:r>
          </w:p>
        </w:tc>
        <w:tc>
          <w:tcPr>
            <w:tcW w:w="2694" w:type="dxa"/>
            <w:gridSpan w:val="2"/>
            <w:hideMark/>
          </w:tcPr>
          <w:p w14:paraId="5575FA93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– низкий: затрудняется в анализе, не использует термины;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описывает работу, используя базовые искусствоведческие термины;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– высокий: проводит глубокий 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искусствоведческий анализ, аргументированно оценивает работы.</w:t>
            </w:r>
          </w:p>
        </w:tc>
        <w:tc>
          <w:tcPr>
            <w:tcW w:w="992" w:type="dxa"/>
            <w:hideMark/>
          </w:tcPr>
          <w:p w14:paraId="2A1ACD8B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1–4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2352" w:type="dxa"/>
            <w:hideMark/>
          </w:tcPr>
          <w:p w14:paraId="614C15CD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Беседа, искусствоведческий анализ, творческий отчет</w:t>
            </w:r>
          </w:p>
        </w:tc>
      </w:tr>
      <w:tr w:rsidR="00290CA0" w:rsidRPr="0083100C" w14:paraId="29FEE175" w14:textId="77777777" w:rsidTr="00807D25">
        <w:tc>
          <w:tcPr>
            <w:tcW w:w="2660" w:type="dxa"/>
            <w:gridSpan w:val="2"/>
            <w:hideMark/>
          </w:tcPr>
          <w:p w14:paraId="2E7722FC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Защита художественн</w:t>
            </w:r>
            <w:r w:rsidR="00402F1E" w:rsidRPr="0083100C">
              <w:rPr>
                <w:rFonts w:ascii="Times New Roman" w:hAnsi="Times New Roman" w:cs="Times New Roman"/>
                <w:sz w:val="24"/>
                <w:szCs w:val="24"/>
              </w:rPr>
              <w:t>ой работы</w:t>
            </w:r>
          </w:p>
        </w:tc>
        <w:tc>
          <w:tcPr>
            <w:tcW w:w="1984" w:type="dxa"/>
            <w:hideMark/>
          </w:tcPr>
          <w:p w14:paraId="2B85E0D6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Способность аргументированно защитить свою работу перед аудиторией</w:t>
            </w:r>
          </w:p>
        </w:tc>
        <w:tc>
          <w:tcPr>
            <w:tcW w:w="2694" w:type="dxa"/>
            <w:gridSpan w:val="2"/>
            <w:hideMark/>
          </w:tcPr>
          <w:p w14:paraId="4A0F2990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– низкий: не может защитить работу, избегает публичных выступлений;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защищает работу по наводящим вопросам педагога;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аргументированно и уверенно защищает работу перед аудиторией, отвечает на вопросы.</w:t>
            </w:r>
          </w:p>
        </w:tc>
        <w:tc>
          <w:tcPr>
            <w:tcW w:w="992" w:type="dxa"/>
            <w:hideMark/>
          </w:tcPr>
          <w:p w14:paraId="42BA5F84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2352" w:type="dxa"/>
            <w:hideMark/>
          </w:tcPr>
          <w:p w14:paraId="02EF1B81" w14:textId="77777777" w:rsidR="00290CA0" w:rsidRPr="0083100C" w:rsidRDefault="00402F1E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Защита работы</w:t>
            </w:r>
            <w:r w:rsidR="00290CA0" w:rsidRPr="0083100C">
              <w:rPr>
                <w:rFonts w:ascii="Times New Roman" w:hAnsi="Times New Roman" w:cs="Times New Roman"/>
                <w:sz w:val="24"/>
                <w:szCs w:val="24"/>
              </w:rPr>
              <w:t>, творческий отчет, наблюдение</w:t>
            </w:r>
          </w:p>
        </w:tc>
      </w:tr>
      <w:tr w:rsidR="00290CA0" w:rsidRPr="0083100C" w14:paraId="40402ECE" w14:textId="77777777" w:rsidTr="00807D25">
        <w:tc>
          <w:tcPr>
            <w:tcW w:w="2660" w:type="dxa"/>
            <w:gridSpan w:val="2"/>
            <w:hideMark/>
          </w:tcPr>
          <w:p w14:paraId="321C04D2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Исследовательские навыки</w:t>
            </w:r>
          </w:p>
        </w:tc>
        <w:tc>
          <w:tcPr>
            <w:tcW w:w="1984" w:type="dxa"/>
            <w:hideMark/>
          </w:tcPr>
          <w:p w14:paraId="77F1C96C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Способность самостоятельно исследовать тему, находить примеры, создавать серию работ</w:t>
            </w:r>
          </w:p>
        </w:tc>
        <w:tc>
          <w:tcPr>
            <w:tcW w:w="2694" w:type="dxa"/>
            <w:gridSpan w:val="2"/>
            <w:hideMark/>
          </w:tcPr>
          <w:p w14:paraId="11C92BF9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– низкий: не выполняет исследовательских заданий;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выполняет исследования по предложенному плану;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самостоятельно исследует тему (например, «Символика в русском ДПИ»), создает серию работ как единый проект.</w:t>
            </w:r>
          </w:p>
        </w:tc>
        <w:tc>
          <w:tcPr>
            <w:tcW w:w="992" w:type="dxa"/>
            <w:hideMark/>
          </w:tcPr>
          <w:p w14:paraId="6DA8AD1F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2352" w:type="dxa"/>
            <w:hideMark/>
          </w:tcPr>
          <w:p w14:paraId="7B066AE8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Анализ проекта, защита исследования</w:t>
            </w:r>
          </w:p>
        </w:tc>
      </w:tr>
      <w:tr w:rsidR="00290CA0" w:rsidRPr="0083100C" w14:paraId="7B2C5CEE" w14:textId="77777777" w:rsidTr="00807D25">
        <w:tc>
          <w:tcPr>
            <w:tcW w:w="2660" w:type="dxa"/>
            <w:gridSpan w:val="2"/>
            <w:hideMark/>
          </w:tcPr>
          <w:p w14:paraId="79507DA8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Умение слушать и слышать педагога</w:t>
            </w:r>
          </w:p>
        </w:tc>
        <w:tc>
          <w:tcPr>
            <w:tcW w:w="1984" w:type="dxa"/>
            <w:hideMark/>
          </w:tcPr>
          <w:p w14:paraId="1FF19AA8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Адекватность восприятия инструкций и информации</w:t>
            </w:r>
          </w:p>
        </w:tc>
        <w:tc>
          <w:tcPr>
            <w:tcW w:w="2694" w:type="dxa"/>
            <w:gridSpan w:val="2"/>
            <w:hideMark/>
          </w:tcPr>
          <w:p w14:paraId="12C6E5FE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– низкий: игнорирует инструкции;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воспринимает частично, требует повторения;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внимательно слушает, правильно и сразу выполняет инструкции.</w:t>
            </w:r>
          </w:p>
        </w:tc>
        <w:tc>
          <w:tcPr>
            <w:tcW w:w="992" w:type="dxa"/>
            <w:hideMark/>
          </w:tcPr>
          <w:p w14:paraId="7371F545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2352" w:type="dxa"/>
            <w:hideMark/>
          </w:tcPr>
          <w:p w14:paraId="75DB5A83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90CA0" w:rsidRPr="0083100C" w14:paraId="11C94A3E" w14:textId="77777777" w:rsidTr="00DA3D2D">
        <w:tc>
          <w:tcPr>
            <w:tcW w:w="10682" w:type="dxa"/>
            <w:gridSpan w:val="7"/>
            <w:hideMark/>
          </w:tcPr>
          <w:p w14:paraId="6FF614B6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58CDE" w14:textId="77777777" w:rsidR="00290CA0" w:rsidRPr="0083100C" w:rsidRDefault="00290CA0" w:rsidP="004D4F4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b/>
                <w:sz w:val="24"/>
                <w:szCs w:val="24"/>
              </w:rPr>
              <w:t>Динамика итоговых результатов за 2021–2026 гг.</w:t>
            </w:r>
          </w:p>
          <w:p w14:paraId="7479F923" w14:textId="77777777" w:rsidR="00290CA0" w:rsidRPr="0083100C" w:rsidRDefault="00290CA0" w:rsidP="004D4F4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  <w:p w14:paraId="0657A16A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(Проектирование, анализ, рефлексия, защита проекта, исследование)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88"/>
              <w:gridCol w:w="1476"/>
              <w:gridCol w:w="1476"/>
              <w:gridCol w:w="1476"/>
              <w:gridCol w:w="1476"/>
              <w:gridCol w:w="1476"/>
            </w:tblGrid>
            <w:tr w:rsidR="00290CA0" w:rsidRPr="0083100C" w14:paraId="2C959B9E" w14:textId="77777777" w:rsidTr="00DA3D2D">
              <w:tc>
                <w:tcPr>
                  <w:tcW w:w="2388" w:type="dxa"/>
                  <w:hideMark/>
                </w:tcPr>
                <w:p w14:paraId="6AD80FFC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Уровень освоения</w:t>
                  </w:r>
                </w:p>
              </w:tc>
              <w:tc>
                <w:tcPr>
                  <w:tcW w:w="1476" w:type="dxa"/>
                  <w:hideMark/>
                </w:tcPr>
                <w:p w14:paraId="7DEA2463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2021–2022</w:t>
                  </w:r>
                </w:p>
              </w:tc>
              <w:tc>
                <w:tcPr>
                  <w:tcW w:w="1476" w:type="dxa"/>
                  <w:hideMark/>
                </w:tcPr>
                <w:p w14:paraId="1A82F542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2022–2023</w:t>
                  </w:r>
                </w:p>
              </w:tc>
              <w:tc>
                <w:tcPr>
                  <w:tcW w:w="1476" w:type="dxa"/>
                  <w:hideMark/>
                </w:tcPr>
                <w:p w14:paraId="2D07B23B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2023–2024</w:t>
                  </w:r>
                </w:p>
              </w:tc>
              <w:tc>
                <w:tcPr>
                  <w:tcW w:w="1476" w:type="dxa"/>
                  <w:hideMark/>
                </w:tcPr>
                <w:p w14:paraId="1B4D3F54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2024–2025</w:t>
                  </w:r>
                </w:p>
              </w:tc>
              <w:tc>
                <w:tcPr>
                  <w:tcW w:w="1476" w:type="dxa"/>
                  <w:hideMark/>
                </w:tcPr>
                <w:p w14:paraId="7D832E56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2025–2026</w:t>
                  </w:r>
                </w:p>
              </w:tc>
            </w:tr>
            <w:tr w:rsidR="00290CA0" w:rsidRPr="0083100C" w14:paraId="1CDAB6DB" w14:textId="77777777" w:rsidTr="00DA3D2D">
              <w:tc>
                <w:tcPr>
                  <w:tcW w:w="2388" w:type="dxa"/>
                  <w:hideMark/>
                </w:tcPr>
                <w:p w14:paraId="027FD857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Высокий уровень</w:t>
                  </w:r>
                </w:p>
              </w:tc>
              <w:tc>
                <w:tcPr>
                  <w:tcW w:w="1476" w:type="dxa"/>
                  <w:hideMark/>
                </w:tcPr>
                <w:p w14:paraId="7D9B3035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35%</w:t>
                  </w:r>
                </w:p>
              </w:tc>
              <w:tc>
                <w:tcPr>
                  <w:tcW w:w="1476" w:type="dxa"/>
                  <w:hideMark/>
                </w:tcPr>
                <w:p w14:paraId="459560B6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40%</w:t>
                  </w:r>
                </w:p>
              </w:tc>
              <w:tc>
                <w:tcPr>
                  <w:tcW w:w="1476" w:type="dxa"/>
                  <w:hideMark/>
                </w:tcPr>
                <w:p w14:paraId="0EABEF7A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55%</w:t>
                  </w:r>
                </w:p>
              </w:tc>
              <w:tc>
                <w:tcPr>
                  <w:tcW w:w="1476" w:type="dxa"/>
                  <w:hideMark/>
                </w:tcPr>
                <w:p w14:paraId="750EC820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70%</w:t>
                  </w:r>
                </w:p>
              </w:tc>
              <w:tc>
                <w:tcPr>
                  <w:tcW w:w="1476" w:type="dxa"/>
                  <w:hideMark/>
                </w:tcPr>
                <w:p w14:paraId="5320654A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85%</w:t>
                  </w:r>
                </w:p>
              </w:tc>
            </w:tr>
            <w:tr w:rsidR="00290CA0" w:rsidRPr="0083100C" w14:paraId="5C8C04E5" w14:textId="77777777" w:rsidTr="00DA3D2D">
              <w:tc>
                <w:tcPr>
                  <w:tcW w:w="2388" w:type="dxa"/>
                  <w:hideMark/>
                </w:tcPr>
                <w:p w14:paraId="0DA5A36A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Средний уровень</w:t>
                  </w:r>
                </w:p>
              </w:tc>
              <w:tc>
                <w:tcPr>
                  <w:tcW w:w="1476" w:type="dxa"/>
                  <w:hideMark/>
                </w:tcPr>
                <w:p w14:paraId="267AC14C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55%</w:t>
                  </w:r>
                </w:p>
              </w:tc>
              <w:tc>
                <w:tcPr>
                  <w:tcW w:w="1476" w:type="dxa"/>
                  <w:hideMark/>
                </w:tcPr>
                <w:p w14:paraId="4E564565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50%</w:t>
                  </w:r>
                </w:p>
              </w:tc>
              <w:tc>
                <w:tcPr>
                  <w:tcW w:w="1476" w:type="dxa"/>
                  <w:hideMark/>
                </w:tcPr>
                <w:p w14:paraId="5EB103CA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40%</w:t>
                  </w:r>
                </w:p>
              </w:tc>
              <w:tc>
                <w:tcPr>
                  <w:tcW w:w="1476" w:type="dxa"/>
                  <w:hideMark/>
                </w:tcPr>
                <w:p w14:paraId="47EB3CE4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25%</w:t>
                  </w:r>
                </w:p>
              </w:tc>
              <w:tc>
                <w:tcPr>
                  <w:tcW w:w="1476" w:type="dxa"/>
                  <w:hideMark/>
                </w:tcPr>
                <w:p w14:paraId="268BCEDF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15%</w:t>
                  </w:r>
                </w:p>
              </w:tc>
            </w:tr>
            <w:tr w:rsidR="00290CA0" w:rsidRPr="0083100C" w14:paraId="4DAA2E47" w14:textId="77777777" w:rsidTr="00DA3D2D">
              <w:tc>
                <w:tcPr>
                  <w:tcW w:w="2388" w:type="dxa"/>
                  <w:hideMark/>
                </w:tcPr>
                <w:p w14:paraId="02A4B4C4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Низкий уровень</w:t>
                  </w:r>
                </w:p>
              </w:tc>
              <w:tc>
                <w:tcPr>
                  <w:tcW w:w="1476" w:type="dxa"/>
                  <w:hideMark/>
                </w:tcPr>
                <w:p w14:paraId="03B76214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10%</w:t>
                  </w:r>
                </w:p>
              </w:tc>
              <w:tc>
                <w:tcPr>
                  <w:tcW w:w="1476" w:type="dxa"/>
                  <w:hideMark/>
                </w:tcPr>
                <w:p w14:paraId="2D3A4674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10%</w:t>
                  </w:r>
                </w:p>
              </w:tc>
              <w:tc>
                <w:tcPr>
                  <w:tcW w:w="1476" w:type="dxa"/>
                  <w:hideMark/>
                </w:tcPr>
                <w:p w14:paraId="2FAD888E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5%</w:t>
                  </w:r>
                </w:p>
              </w:tc>
              <w:tc>
                <w:tcPr>
                  <w:tcW w:w="1476" w:type="dxa"/>
                  <w:hideMark/>
                </w:tcPr>
                <w:p w14:paraId="2F5C7190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5%</w:t>
                  </w:r>
                </w:p>
              </w:tc>
              <w:tc>
                <w:tcPr>
                  <w:tcW w:w="1476" w:type="dxa"/>
                  <w:hideMark/>
                </w:tcPr>
                <w:p w14:paraId="087D6577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0%</w:t>
                  </w:r>
                </w:p>
              </w:tc>
            </w:tr>
          </w:tbl>
          <w:p w14:paraId="14BE4A27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F689F" w14:textId="77777777" w:rsidR="00290CA0" w:rsidRPr="0083100C" w:rsidRDefault="00290CA0" w:rsidP="00954AA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5F4682B7" wp14:editId="2F118438">
                  <wp:extent cx="5060950" cy="2743200"/>
                  <wp:effectExtent l="19050" t="0" r="25400" b="0"/>
                  <wp:docPr id="5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  <w:p w14:paraId="2CCD8D48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B1BDC0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CA0" w:rsidRPr="0083100C" w14:paraId="7D2C2006" w14:textId="77777777" w:rsidTr="00DA3D2D">
        <w:tc>
          <w:tcPr>
            <w:tcW w:w="10682" w:type="dxa"/>
            <w:gridSpan w:val="7"/>
            <w:hideMark/>
          </w:tcPr>
          <w:p w14:paraId="7231D7AE" w14:textId="77777777" w:rsidR="00290CA0" w:rsidRPr="0083100C" w:rsidRDefault="00290CA0" w:rsidP="00954AA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РЕЗУЛЬТАТЫ</w:t>
            </w:r>
          </w:p>
        </w:tc>
      </w:tr>
      <w:tr w:rsidR="00290CA0" w:rsidRPr="0083100C" w14:paraId="5F658D17" w14:textId="77777777" w:rsidTr="00807D25">
        <w:tc>
          <w:tcPr>
            <w:tcW w:w="2376" w:type="dxa"/>
            <w:hideMark/>
          </w:tcPr>
          <w:p w14:paraId="20D58316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Мотивация и интерес к творчеству</w:t>
            </w:r>
          </w:p>
        </w:tc>
        <w:tc>
          <w:tcPr>
            <w:tcW w:w="2268" w:type="dxa"/>
            <w:gridSpan w:val="2"/>
            <w:hideMark/>
          </w:tcPr>
          <w:p w14:paraId="3A12B50A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Осознанное участие ребенка, внутренняя мотивация к занятиям</w:t>
            </w:r>
          </w:p>
        </w:tc>
        <w:tc>
          <w:tcPr>
            <w:tcW w:w="2533" w:type="dxa"/>
            <w:hideMark/>
          </w:tcPr>
          <w:p w14:paraId="7AB8167F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– низкий: интерес утилитарный (только ради оценки);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интерес устойчивый, но зависит от темы;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высокая внутренняя мотивация, стремится к самовыражению.</w:t>
            </w:r>
          </w:p>
        </w:tc>
        <w:tc>
          <w:tcPr>
            <w:tcW w:w="1153" w:type="dxa"/>
            <w:gridSpan w:val="2"/>
            <w:hideMark/>
          </w:tcPr>
          <w:p w14:paraId="03440C7D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2352" w:type="dxa"/>
            <w:hideMark/>
          </w:tcPr>
          <w:p w14:paraId="649FBEBF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Наблюдение, беседа</w:t>
            </w:r>
          </w:p>
        </w:tc>
      </w:tr>
      <w:tr w:rsidR="00290CA0" w:rsidRPr="0083100C" w14:paraId="09DEADC4" w14:textId="77777777" w:rsidTr="00807D25">
        <w:tc>
          <w:tcPr>
            <w:tcW w:w="2376" w:type="dxa"/>
            <w:hideMark/>
          </w:tcPr>
          <w:p w14:paraId="55E284D2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Самооценка и адекватное восприятие критики</w:t>
            </w:r>
          </w:p>
        </w:tc>
        <w:tc>
          <w:tcPr>
            <w:tcW w:w="2268" w:type="dxa"/>
            <w:gridSpan w:val="2"/>
            <w:hideMark/>
          </w:tcPr>
          <w:p w14:paraId="6E0E417B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Способность оценивать свои достижения, использовать критику для роста</w:t>
            </w:r>
          </w:p>
        </w:tc>
        <w:tc>
          <w:tcPr>
            <w:tcW w:w="2533" w:type="dxa"/>
            <w:hideMark/>
          </w:tcPr>
          <w:p w14:paraId="33F2F9AE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– низкий: не принимает критику, заниженная/завышенная самооценка;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критику воспринимает нормально, но редко проявляет инициативу;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адекватная самооценка, использует критику для роста.</w:t>
            </w:r>
          </w:p>
        </w:tc>
        <w:tc>
          <w:tcPr>
            <w:tcW w:w="1153" w:type="dxa"/>
            <w:gridSpan w:val="2"/>
            <w:hideMark/>
          </w:tcPr>
          <w:p w14:paraId="0B615491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2352" w:type="dxa"/>
            <w:hideMark/>
          </w:tcPr>
          <w:p w14:paraId="2FF5F5AD" w14:textId="77777777" w:rsidR="00290CA0" w:rsidRPr="0083100C" w:rsidRDefault="00402F1E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 w:rsidR="00290CA0" w:rsidRPr="0083100C">
              <w:rPr>
                <w:rFonts w:ascii="Times New Roman" w:hAnsi="Times New Roman" w:cs="Times New Roman"/>
                <w:sz w:val="24"/>
                <w:szCs w:val="24"/>
              </w:rPr>
              <w:t>, беседа</w:t>
            </w:r>
          </w:p>
        </w:tc>
      </w:tr>
      <w:tr w:rsidR="00290CA0" w:rsidRPr="0083100C" w14:paraId="25C786A5" w14:textId="77777777" w:rsidTr="00807D25">
        <w:tc>
          <w:tcPr>
            <w:tcW w:w="2376" w:type="dxa"/>
            <w:hideMark/>
          </w:tcPr>
          <w:p w14:paraId="3EBCE95B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 и художественный вкус</w:t>
            </w:r>
          </w:p>
        </w:tc>
        <w:tc>
          <w:tcPr>
            <w:tcW w:w="2268" w:type="dxa"/>
            <w:gridSpan w:val="2"/>
            <w:hideMark/>
          </w:tcPr>
          <w:p w14:paraId="705127E4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Сформированность эстетической позиции, критического взгляда на искусство</w:t>
            </w:r>
          </w:p>
        </w:tc>
        <w:tc>
          <w:tcPr>
            <w:tcW w:w="2533" w:type="dxa"/>
            <w:hideMark/>
          </w:tcPr>
          <w:p w14:paraId="74743BE1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– низкий: не различает художественные качества, обесценивает работы;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различает художественные качества, но не всегда аргументирует;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– высокий: сформирована устойчивая эстетическая позиция, аргументированно 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оценивает искусство.</w:t>
            </w:r>
          </w:p>
        </w:tc>
        <w:tc>
          <w:tcPr>
            <w:tcW w:w="1153" w:type="dxa"/>
            <w:gridSpan w:val="2"/>
            <w:hideMark/>
          </w:tcPr>
          <w:p w14:paraId="2A2A0FDD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1–4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2352" w:type="dxa"/>
            <w:hideMark/>
          </w:tcPr>
          <w:p w14:paraId="2AAF6522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Беседа, искусствоведческий анализ, наблюдение</w:t>
            </w:r>
          </w:p>
        </w:tc>
      </w:tr>
      <w:tr w:rsidR="00290CA0" w:rsidRPr="0083100C" w14:paraId="25C616F2" w14:textId="77777777" w:rsidTr="00807D25">
        <w:tc>
          <w:tcPr>
            <w:tcW w:w="2376" w:type="dxa"/>
            <w:hideMark/>
          </w:tcPr>
          <w:p w14:paraId="728531BE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Работа в творческой команде</w:t>
            </w:r>
          </w:p>
        </w:tc>
        <w:tc>
          <w:tcPr>
            <w:tcW w:w="2268" w:type="dxa"/>
            <w:gridSpan w:val="2"/>
            <w:hideMark/>
          </w:tcPr>
          <w:p w14:paraId="7AD24300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Умение работать в коллективе, участвовать в совместных проектах</w:t>
            </w:r>
          </w:p>
        </w:tc>
        <w:tc>
          <w:tcPr>
            <w:tcW w:w="2533" w:type="dxa"/>
            <w:hideMark/>
          </w:tcPr>
          <w:p w14:paraId="6F61564D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– низкий: избегает коллективных форм работы;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в группе работает комфортно, но без лидерских проявлений;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активно участвует в коллективных проектах, помогает адаптироваться новичкам.</w:t>
            </w:r>
          </w:p>
        </w:tc>
        <w:tc>
          <w:tcPr>
            <w:tcW w:w="1153" w:type="dxa"/>
            <w:gridSpan w:val="2"/>
            <w:hideMark/>
          </w:tcPr>
          <w:p w14:paraId="0438B931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2352" w:type="dxa"/>
            <w:hideMark/>
          </w:tcPr>
          <w:p w14:paraId="0F2551F7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Наблюдение, анализ коллективных работ</w:t>
            </w:r>
          </w:p>
        </w:tc>
      </w:tr>
      <w:tr w:rsidR="00290CA0" w:rsidRPr="0083100C" w14:paraId="4BCD85D3" w14:textId="77777777" w:rsidTr="00807D25">
        <w:tc>
          <w:tcPr>
            <w:tcW w:w="2376" w:type="dxa"/>
            <w:hideMark/>
          </w:tcPr>
          <w:p w14:paraId="3B6B0DD1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Участие в выставочной деятельности</w:t>
            </w:r>
          </w:p>
        </w:tc>
        <w:tc>
          <w:tcPr>
            <w:tcW w:w="2268" w:type="dxa"/>
            <w:gridSpan w:val="2"/>
            <w:hideMark/>
          </w:tcPr>
          <w:p w14:paraId="14FDE4D8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Активность в выставках, конкурсах, презентациях</w:t>
            </w:r>
          </w:p>
        </w:tc>
        <w:tc>
          <w:tcPr>
            <w:tcW w:w="2533" w:type="dxa"/>
            <w:hideMark/>
          </w:tcPr>
          <w:p w14:paraId="6B40E4BE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– низкий: не участвует в выставках, избегает публичности;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участвует в выставках по предложению педагога;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активно участвует в выставках, конкурсах, презентует свои работы.</w:t>
            </w:r>
          </w:p>
        </w:tc>
        <w:tc>
          <w:tcPr>
            <w:tcW w:w="1153" w:type="dxa"/>
            <w:gridSpan w:val="2"/>
            <w:hideMark/>
          </w:tcPr>
          <w:p w14:paraId="339448A8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83100C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2352" w:type="dxa"/>
            <w:hideMark/>
          </w:tcPr>
          <w:p w14:paraId="5AB423C8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Анализ портфолио, наблюдение</w:t>
            </w:r>
          </w:p>
        </w:tc>
      </w:tr>
      <w:tr w:rsidR="00290CA0" w:rsidRPr="0083100C" w14:paraId="38DB7A07" w14:textId="77777777" w:rsidTr="00DA3D2D">
        <w:tc>
          <w:tcPr>
            <w:tcW w:w="10682" w:type="dxa"/>
            <w:gridSpan w:val="7"/>
            <w:hideMark/>
          </w:tcPr>
          <w:p w14:paraId="2693C526" w14:textId="77777777" w:rsidR="00290CA0" w:rsidRPr="0083100C" w:rsidRDefault="00290CA0" w:rsidP="004D4F4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b/>
                <w:sz w:val="24"/>
                <w:szCs w:val="24"/>
              </w:rPr>
              <w:t>Динамика итоговых результатов за 2021–2026 гг.</w:t>
            </w:r>
          </w:p>
          <w:p w14:paraId="0DFEFFF3" w14:textId="77777777" w:rsidR="00290CA0" w:rsidRPr="0083100C" w:rsidRDefault="00290CA0" w:rsidP="004D4F4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  <w:p w14:paraId="0AADC926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sz w:val="24"/>
                <w:szCs w:val="24"/>
              </w:rPr>
              <w:t>(Мотивация, самооценка, критическое мышление, командная работа, выставочная деятельность)</w:t>
            </w:r>
          </w:p>
          <w:p w14:paraId="480A6F4D" w14:textId="77777777" w:rsidR="00290CA0" w:rsidRPr="0083100C" w:rsidRDefault="00290CA0" w:rsidP="00954AA9">
            <w:pPr>
              <w:tabs>
                <w:tab w:val="left" w:pos="524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88"/>
              <w:gridCol w:w="1476"/>
              <w:gridCol w:w="1476"/>
              <w:gridCol w:w="1476"/>
              <w:gridCol w:w="1476"/>
              <w:gridCol w:w="1476"/>
            </w:tblGrid>
            <w:tr w:rsidR="00290CA0" w:rsidRPr="0083100C" w14:paraId="4AB15F29" w14:textId="77777777" w:rsidTr="00DA3D2D">
              <w:tc>
                <w:tcPr>
                  <w:tcW w:w="2388" w:type="dxa"/>
                  <w:hideMark/>
                </w:tcPr>
                <w:p w14:paraId="535CB52A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Уровень освоения</w:t>
                  </w:r>
                </w:p>
              </w:tc>
              <w:tc>
                <w:tcPr>
                  <w:tcW w:w="1476" w:type="dxa"/>
                  <w:hideMark/>
                </w:tcPr>
                <w:p w14:paraId="269EDE15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2021–2022</w:t>
                  </w:r>
                </w:p>
              </w:tc>
              <w:tc>
                <w:tcPr>
                  <w:tcW w:w="1476" w:type="dxa"/>
                  <w:hideMark/>
                </w:tcPr>
                <w:p w14:paraId="37BA8C98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2022–2023</w:t>
                  </w:r>
                </w:p>
              </w:tc>
              <w:tc>
                <w:tcPr>
                  <w:tcW w:w="1476" w:type="dxa"/>
                  <w:hideMark/>
                </w:tcPr>
                <w:p w14:paraId="0AB06935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2023–2024</w:t>
                  </w:r>
                </w:p>
              </w:tc>
              <w:tc>
                <w:tcPr>
                  <w:tcW w:w="1476" w:type="dxa"/>
                  <w:hideMark/>
                </w:tcPr>
                <w:p w14:paraId="2CC0BC65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2024–2025</w:t>
                  </w:r>
                </w:p>
              </w:tc>
              <w:tc>
                <w:tcPr>
                  <w:tcW w:w="1476" w:type="dxa"/>
                  <w:hideMark/>
                </w:tcPr>
                <w:p w14:paraId="7908339F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2025–2026</w:t>
                  </w:r>
                </w:p>
              </w:tc>
            </w:tr>
            <w:tr w:rsidR="00290CA0" w:rsidRPr="0083100C" w14:paraId="26945063" w14:textId="77777777" w:rsidTr="00DA3D2D">
              <w:tc>
                <w:tcPr>
                  <w:tcW w:w="2388" w:type="dxa"/>
                  <w:hideMark/>
                </w:tcPr>
                <w:p w14:paraId="119C803D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Высокий уровень</w:t>
                  </w:r>
                </w:p>
              </w:tc>
              <w:tc>
                <w:tcPr>
                  <w:tcW w:w="1476" w:type="dxa"/>
                  <w:hideMark/>
                </w:tcPr>
                <w:p w14:paraId="3BF05D8E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30%</w:t>
                  </w:r>
                </w:p>
              </w:tc>
              <w:tc>
                <w:tcPr>
                  <w:tcW w:w="1476" w:type="dxa"/>
                  <w:hideMark/>
                </w:tcPr>
                <w:p w14:paraId="0F41EFAC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45%</w:t>
                  </w:r>
                </w:p>
              </w:tc>
              <w:tc>
                <w:tcPr>
                  <w:tcW w:w="1476" w:type="dxa"/>
                  <w:hideMark/>
                </w:tcPr>
                <w:p w14:paraId="6F946037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60%</w:t>
                  </w:r>
                </w:p>
              </w:tc>
              <w:tc>
                <w:tcPr>
                  <w:tcW w:w="1476" w:type="dxa"/>
                  <w:hideMark/>
                </w:tcPr>
                <w:p w14:paraId="2A3C09CE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75%</w:t>
                  </w:r>
                </w:p>
              </w:tc>
              <w:tc>
                <w:tcPr>
                  <w:tcW w:w="1476" w:type="dxa"/>
                  <w:hideMark/>
                </w:tcPr>
                <w:p w14:paraId="5C50E5FF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85%</w:t>
                  </w:r>
                </w:p>
              </w:tc>
            </w:tr>
            <w:tr w:rsidR="00290CA0" w:rsidRPr="0083100C" w14:paraId="647D9E1C" w14:textId="77777777" w:rsidTr="00DA3D2D">
              <w:tc>
                <w:tcPr>
                  <w:tcW w:w="2388" w:type="dxa"/>
                  <w:hideMark/>
                </w:tcPr>
                <w:p w14:paraId="22DCBD42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Средний уровень</w:t>
                  </w:r>
                </w:p>
              </w:tc>
              <w:tc>
                <w:tcPr>
                  <w:tcW w:w="1476" w:type="dxa"/>
                  <w:hideMark/>
                </w:tcPr>
                <w:p w14:paraId="095557E9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60%</w:t>
                  </w:r>
                </w:p>
              </w:tc>
              <w:tc>
                <w:tcPr>
                  <w:tcW w:w="1476" w:type="dxa"/>
                  <w:hideMark/>
                </w:tcPr>
                <w:p w14:paraId="2A1A2B56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50%</w:t>
                  </w:r>
                </w:p>
              </w:tc>
              <w:tc>
                <w:tcPr>
                  <w:tcW w:w="1476" w:type="dxa"/>
                  <w:hideMark/>
                </w:tcPr>
                <w:p w14:paraId="48FD43BB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40%</w:t>
                  </w:r>
                </w:p>
              </w:tc>
              <w:tc>
                <w:tcPr>
                  <w:tcW w:w="1476" w:type="dxa"/>
                  <w:hideMark/>
                </w:tcPr>
                <w:p w14:paraId="371C2D55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25%</w:t>
                  </w:r>
                </w:p>
              </w:tc>
              <w:tc>
                <w:tcPr>
                  <w:tcW w:w="1476" w:type="dxa"/>
                  <w:hideMark/>
                </w:tcPr>
                <w:p w14:paraId="4F03EBE5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15%</w:t>
                  </w:r>
                </w:p>
              </w:tc>
            </w:tr>
            <w:tr w:rsidR="00290CA0" w:rsidRPr="0083100C" w14:paraId="7AE01C81" w14:textId="77777777" w:rsidTr="00DA3D2D">
              <w:tc>
                <w:tcPr>
                  <w:tcW w:w="2388" w:type="dxa"/>
                  <w:hideMark/>
                </w:tcPr>
                <w:p w14:paraId="422783EB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Низкий уровень</w:t>
                  </w:r>
                </w:p>
              </w:tc>
              <w:tc>
                <w:tcPr>
                  <w:tcW w:w="1476" w:type="dxa"/>
                  <w:hideMark/>
                </w:tcPr>
                <w:p w14:paraId="00FCAFDB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10%</w:t>
                  </w:r>
                </w:p>
              </w:tc>
              <w:tc>
                <w:tcPr>
                  <w:tcW w:w="1476" w:type="dxa"/>
                  <w:hideMark/>
                </w:tcPr>
                <w:p w14:paraId="78F32418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5%</w:t>
                  </w:r>
                </w:p>
              </w:tc>
              <w:tc>
                <w:tcPr>
                  <w:tcW w:w="1476" w:type="dxa"/>
                  <w:hideMark/>
                </w:tcPr>
                <w:p w14:paraId="22BCAE20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0%</w:t>
                  </w:r>
                </w:p>
              </w:tc>
              <w:tc>
                <w:tcPr>
                  <w:tcW w:w="1476" w:type="dxa"/>
                  <w:hideMark/>
                </w:tcPr>
                <w:p w14:paraId="3B70B4F4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0%</w:t>
                  </w:r>
                </w:p>
              </w:tc>
              <w:tc>
                <w:tcPr>
                  <w:tcW w:w="1476" w:type="dxa"/>
                  <w:hideMark/>
                </w:tcPr>
                <w:p w14:paraId="6DDAB860" w14:textId="77777777" w:rsidR="00290CA0" w:rsidRPr="0083100C" w:rsidRDefault="00290CA0" w:rsidP="00954AA9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310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0%</w:t>
                  </w:r>
                </w:p>
              </w:tc>
            </w:tr>
          </w:tbl>
          <w:p w14:paraId="02B274C8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6D023" w14:textId="77777777" w:rsidR="00290CA0" w:rsidRPr="0083100C" w:rsidRDefault="00290CA0" w:rsidP="00954A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00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E0A14BC" wp14:editId="73CA5991">
                  <wp:extent cx="5060950" cy="2743200"/>
                  <wp:effectExtent l="19050" t="0" r="25400" b="0"/>
                  <wp:docPr id="6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</w:tc>
      </w:tr>
    </w:tbl>
    <w:p w14:paraId="56E52892" w14:textId="77777777" w:rsidR="00290CA0" w:rsidRPr="00290CA0" w:rsidRDefault="00290CA0" w:rsidP="00954AA9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22708152" w14:textId="77777777" w:rsidR="0083100C" w:rsidRDefault="0083100C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p w14:paraId="30525490" w14:textId="76332071" w:rsidR="00290CA0" w:rsidRPr="00057F83" w:rsidRDefault="00290CA0" w:rsidP="00402F1E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057F83">
        <w:rPr>
          <w:rFonts w:ascii="Times New Roman" w:hAnsi="Times New Roman" w:cs="Times New Roman"/>
          <w:b/>
          <w:sz w:val="36"/>
          <w:szCs w:val="36"/>
        </w:rPr>
        <w:lastRenderedPageBreak/>
        <w:t>выводы</w:t>
      </w:r>
      <w:r w:rsidR="00402F1E" w:rsidRPr="00057F83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6182E4E3" w14:textId="1B897525" w:rsidR="00290CA0" w:rsidRPr="00290CA0" w:rsidRDefault="00290CA0" w:rsidP="00954AA9">
      <w:pPr>
        <w:contextualSpacing/>
        <w:rPr>
          <w:rFonts w:ascii="Times New Roman" w:hAnsi="Times New Roman" w:cs="Times New Roman"/>
          <w:sz w:val="28"/>
          <w:szCs w:val="28"/>
        </w:rPr>
      </w:pPr>
      <w:r w:rsidRPr="00402F1E">
        <w:rPr>
          <w:rFonts w:ascii="Times New Roman" w:hAnsi="Times New Roman" w:cs="Times New Roman"/>
          <w:b/>
          <w:sz w:val="28"/>
          <w:szCs w:val="28"/>
        </w:rPr>
        <w:t>Предметные результаты</w:t>
      </w:r>
      <w:r w:rsidRPr="00290CA0">
        <w:rPr>
          <w:rFonts w:ascii="Times New Roman" w:hAnsi="Times New Roman" w:cs="Times New Roman"/>
          <w:sz w:val="28"/>
          <w:szCs w:val="28"/>
        </w:rPr>
        <w:t>. За аттестационный период (2021–2026 гг.) доля обучающихся с высоким уровнем выросла с 25% до 85%. Низкий уровень полностью ликвидирован. Отказ от репродуктивных методов в пользу аналитического рисования с натуры и стилизации позволил полностью решить проблему механ</w:t>
      </w:r>
      <w:r w:rsidR="00402F1E">
        <w:rPr>
          <w:rFonts w:ascii="Times New Roman" w:hAnsi="Times New Roman" w:cs="Times New Roman"/>
          <w:sz w:val="28"/>
          <w:szCs w:val="28"/>
        </w:rPr>
        <w:t xml:space="preserve">ического копирования. </w:t>
      </w:r>
      <w:r w:rsidR="0083100C">
        <w:rPr>
          <w:rFonts w:ascii="Times New Roman" w:hAnsi="Times New Roman" w:cs="Times New Roman"/>
          <w:sz w:val="28"/>
          <w:szCs w:val="28"/>
        </w:rPr>
        <w:t xml:space="preserve">Обучающиеся </w:t>
      </w:r>
      <w:r w:rsidR="0083100C" w:rsidRPr="00290CA0">
        <w:rPr>
          <w:rFonts w:ascii="Times New Roman" w:hAnsi="Times New Roman" w:cs="Times New Roman"/>
          <w:sz w:val="28"/>
          <w:szCs w:val="28"/>
        </w:rPr>
        <w:t>свободно</w:t>
      </w:r>
      <w:r w:rsidRPr="00290CA0">
        <w:rPr>
          <w:rFonts w:ascii="Times New Roman" w:hAnsi="Times New Roman" w:cs="Times New Roman"/>
          <w:sz w:val="28"/>
          <w:szCs w:val="28"/>
        </w:rPr>
        <w:t xml:space="preserve"> комбинируют </w:t>
      </w:r>
      <w:r w:rsidR="0083100C" w:rsidRPr="00290CA0">
        <w:rPr>
          <w:rFonts w:ascii="Times New Roman" w:hAnsi="Times New Roman" w:cs="Times New Roman"/>
          <w:sz w:val="28"/>
          <w:szCs w:val="28"/>
        </w:rPr>
        <w:t>техн</w:t>
      </w:r>
      <w:r w:rsidR="0083100C">
        <w:rPr>
          <w:rFonts w:ascii="Times New Roman" w:hAnsi="Times New Roman" w:cs="Times New Roman"/>
          <w:sz w:val="28"/>
          <w:szCs w:val="28"/>
        </w:rPr>
        <w:t>ики,</w:t>
      </w:r>
      <w:r w:rsidRPr="00290CA0">
        <w:rPr>
          <w:rFonts w:ascii="Times New Roman" w:hAnsi="Times New Roman" w:cs="Times New Roman"/>
          <w:sz w:val="28"/>
          <w:szCs w:val="28"/>
        </w:rPr>
        <w:t xml:space="preserve"> создают работы, достойные выставок.</w:t>
      </w:r>
    </w:p>
    <w:p w14:paraId="7593CABA" w14:textId="77777777" w:rsidR="00290CA0" w:rsidRPr="00290CA0" w:rsidRDefault="00290CA0" w:rsidP="00954AA9">
      <w:pPr>
        <w:contextualSpacing/>
        <w:rPr>
          <w:rFonts w:ascii="Times New Roman" w:hAnsi="Times New Roman" w:cs="Times New Roman"/>
          <w:sz w:val="28"/>
          <w:szCs w:val="28"/>
        </w:rPr>
      </w:pPr>
      <w:r w:rsidRPr="00057F83">
        <w:rPr>
          <w:rFonts w:ascii="Times New Roman" w:hAnsi="Times New Roman" w:cs="Times New Roman"/>
          <w:b/>
          <w:sz w:val="28"/>
          <w:szCs w:val="28"/>
        </w:rPr>
        <w:t>Метапредметные результаты</w:t>
      </w:r>
      <w:r w:rsidRPr="00290CA0">
        <w:rPr>
          <w:rFonts w:ascii="Times New Roman" w:hAnsi="Times New Roman" w:cs="Times New Roman"/>
          <w:sz w:val="28"/>
          <w:szCs w:val="28"/>
        </w:rPr>
        <w:t>. Переход в высокий уровен</w:t>
      </w:r>
      <w:r w:rsidR="00057F83">
        <w:rPr>
          <w:rFonts w:ascii="Times New Roman" w:hAnsi="Times New Roman" w:cs="Times New Roman"/>
          <w:sz w:val="28"/>
          <w:szCs w:val="28"/>
        </w:rPr>
        <w:t>ь составил 85% обучающихся</w:t>
      </w:r>
      <w:r w:rsidRPr="00290CA0">
        <w:rPr>
          <w:rFonts w:ascii="Times New Roman" w:hAnsi="Times New Roman" w:cs="Times New Roman"/>
          <w:sz w:val="28"/>
          <w:szCs w:val="28"/>
        </w:rPr>
        <w:t>. Внедрение технологических карт для каждой сложной работы структурировало мышление подростков. Регулярное проведение «творческих отчетов» и мини-защит в конце каждого модуля развило навыки публичного выступления и искусствоведческого анализа. Обучающиеся самостоятельно исследуют темы, создают серии работ и презентуют их как единый художественный проект.</w:t>
      </w:r>
    </w:p>
    <w:p w14:paraId="41D541D9" w14:textId="77777777" w:rsidR="00290CA0" w:rsidRPr="00290CA0" w:rsidRDefault="00290CA0" w:rsidP="00954AA9">
      <w:pPr>
        <w:contextualSpacing/>
        <w:rPr>
          <w:rFonts w:ascii="Times New Roman" w:hAnsi="Times New Roman" w:cs="Times New Roman"/>
          <w:sz w:val="28"/>
          <w:szCs w:val="28"/>
        </w:rPr>
      </w:pPr>
      <w:r w:rsidRPr="00057F83">
        <w:rPr>
          <w:rFonts w:ascii="Times New Roman" w:hAnsi="Times New Roman" w:cs="Times New Roman"/>
          <w:b/>
          <w:sz w:val="28"/>
          <w:szCs w:val="28"/>
        </w:rPr>
        <w:t>Личностные результаты</w:t>
      </w:r>
      <w:r w:rsidR="00057F83">
        <w:rPr>
          <w:rFonts w:ascii="Times New Roman" w:hAnsi="Times New Roman" w:cs="Times New Roman"/>
          <w:sz w:val="28"/>
          <w:szCs w:val="28"/>
        </w:rPr>
        <w:t>. Самый значимый скачок: с 30</w:t>
      </w:r>
      <w:r w:rsidRPr="00290CA0">
        <w:rPr>
          <w:rFonts w:ascii="Times New Roman" w:hAnsi="Times New Roman" w:cs="Times New Roman"/>
          <w:sz w:val="28"/>
          <w:szCs w:val="28"/>
        </w:rPr>
        <w:t>% до 85% на высоком уровне. Использование метода «портфолио роста» (сравнение своей первой и текущей работы) сняло подростковую тревожность и страх оценки. Сформирована устойчивая эстетическая позиция: обучающиеся бережно относятся к культурному наследию, умеют работать в команде (создание коллективных панно), помогают адаптироваться новичкам.</w:t>
      </w:r>
    </w:p>
    <w:p w14:paraId="2D4BFA79" w14:textId="77777777" w:rsidR="00872118" w:rsidRPr="00290CA0" w:rsidRDefault="00872118" w:rsidP="00954AA9">
      <w:pPr>
        <w:contextualSpacing/>
        <w:rPr>
          <w:rFonts w:ascii="Times New Roman" w:hAnsi="Times New Roman" w:cs="Times New Roman"/>
          <w:sz w:val="28"/>
          <w:szCs w:val="28"/>
        </w:rPr>
      </w:pPr>
    </w:p>
    <w:sectPr w:rsidR="00872118" w:rsidRPr="00290CA0" w:rsidSect="00290C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EA3B57"/>
    <w:multiLevelType w:val="multilevel"/>
    <w:tmpl w:val="7514E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5E04AB"/>
    <w:multiLevelType w:val="multilevel"/>
    <w:tmpl w:val="689CB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5711329">
    <w:abstractNumId w:val="0"/>
  </w:num>
  <w:num w:numId="2" w16cid:durableId="527178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0CA0"/>
    <w:rsid w:val="00042B7F"/>
    <w:rsid w:val="00057F83"/>
    <w:rsid w:val="00290CA0"/>
    <w:rsid w:val="002B3C97"/>
    <w:rsid w:val="00402F1E"/>
    <w:rsid w:val="004D4F48"/>
    <w:rsid w:val="00807D25"/>
    <w:rsid w:val="0083100C"/>
    <w:rsid w:val="00872118"/>
    <w:rsid w:val="00954AA9"/>
    <w:rsid w:val="00DA3D2D"/>
    <w:rsid w:val="00E37702"/>
    <w:rsid w:val="00EF58F2"/>
    <w:rsid w:val="00FE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2557B"/>
  <w15:docId w15:val="{ABEBA101-A611-4A87-9575-116D0DE5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C97"/>
  </w:style>
  <w:style w:type="paragraph" w:styleId="1">
    <w:name w:val="heading 1"/>
    <w:basedOn w:val="a"/>
    <w:link w:val="10"/>
    <w:uiPriority w:val="9"/>
    <w:qFormat/>
    <w:rsid w:val="00290C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290C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290C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0C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290C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290CA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wen-markdown-text">
    <w:name w:val="qwen-markdown-text"/>
    <w:basedOn w:val="a0"/>
    <w:rsid w:val="00290CA0"/>
  </w:style>
  <w:style w:type="table" w:styleId="a3">
    <w:name w:val="Table Grid"/>
    <w:basedOn w:val="a1"/>
    <w:uiPriority w:val="59"/>
    <w:rsid w:val="00290C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90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0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7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87877">
          <w:marLeft w:val="0"/>
          <w:marRight w:val="0"/>
          <w:marTop w:val="0"/>
          <w:marBottom w:val="0"/>
          <w:divBdr>
            <w:top w:val="single" w:sz="2" w:space="30" w:color="E3E3E3"/>
            <w:left w:val="single" w:sz="2" w:space="0" w:color="E3E3E3"/>
            <w:bottom w:val="single" w:sz="2" w:space="12" w:color="E3E3E3"/>
            <w:right w:val="single" w:sz="2" w:space="0" w:color="E3E3E3"/>
          </w:divBdr>
          <w:divsChild>
            <w:div w:id="122444102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31" w:color="E3E3E3"/>
                <w:right w:val="single" w:sz="2" w:space="0" w:color="E3E3E3"/>
              </w:divBdr>
              <w:divsChild>
                <w:div w:id="19306522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24" w:color="E3E3E3"/>
                    <w:bottom w:val="single" w:sz="2" w:space="0" w:color="E3E3E3"/>
                    <w:right w:val="single" w:sz="2" w:space="24" w:color="E3E3E3"/>
                  </w:divBdr>
                  <w:divsChild>
                    <w:div w:id="17293812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8052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86254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141533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00913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574778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140411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510411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552472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50633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008564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97718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557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9947474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878928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701737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816532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18459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862086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623827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902446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828158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24507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5673462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079404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677683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51086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117364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839465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1081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79201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48201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49457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267424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237546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740403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949118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533615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36806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08396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7022887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697147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863786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462920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21686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727994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735619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925870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679846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4183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07974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5186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91989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60275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548734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769497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22605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063089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87586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09655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464987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30914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90521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40991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117363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017075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578512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481724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254782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28883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862935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053042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7954104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592929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445540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771243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849372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98790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071997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133408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92484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845750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278682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538013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23659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67561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946736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819418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25233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2679282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60464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170288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942539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504355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42198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37272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947741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071317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671786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703210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741631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4401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686126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890526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8167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212496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842551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540043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50564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999581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860778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785320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726490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785611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842938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95194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072842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014601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445080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106801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977539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064330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39103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57072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17413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86905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096828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8067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545601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2633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885532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344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707025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143451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748038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814100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88219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94655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846046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908807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955751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34503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1715279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97955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541825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537893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783108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971981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780294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026977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836069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788062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31063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2417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864247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07736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3907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621571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698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724324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044477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93788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265652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64718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70571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568618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77160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997416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804692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80930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08208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489325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208375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03317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885830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5321114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773398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076443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23121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73993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818493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959487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150748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3370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689209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686666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865052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103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98404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136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481965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841700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7887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524246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116097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615866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8135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53153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05586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25</c:v>
                </c:pt>
                <c:pt idx="1">
                  <c:v>40</c:v>
                </c:pt>
                <c:pt idx="2">
                  <c:v>55</c:v>
                </c:pt>
                <c:pt idx="3">
                  <c:v>70</c:v>
                </c:pt>
                <c:pt idx="4">
                  <c:v>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FE6-4558-87EC-7C6D8635F37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55</c:v>
                </c:pt>
                <c:pt idx="1">
                  <c:v>50</c:v>
                </c:pt>
                <c:pt idx="2">
                  <c:v>40</c:v>
                </c:pt>
                <c:pt idx="3">
                  <c:v>30</c:v>
                </c:pt>
                <c:pt idx="4">
                  <c:v>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FE6-4558-87EC-7C6D8635F37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20</c:v>
                </c:pt>
                <c:pt idx="1">
                  <c:v>15</c:v>
                </c:pt>
                <c:pt idx="2">
                  <c:v>5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CFE6-4558-87EC-7C6D8635F3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8924416"/>
        <c:axId val="78942592"/>
      </c:lineChart>
      <c:catAx>
        <c:axId val="78924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78942592"/>
        <c:crosses val="autoZero"/>
        <c:auto val="1"/>
        <c:lblAlgn val="ctr"/>
        <c:lblOffset val="100"/>
        <c:noMultiLvlLbl val="0"/>
      </c:catAx>
      <c:valAx>
        <c:axId val="789425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892441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35</c:v>
                </c:pt>
                <c:pt idx="1">
                  <c:v>40</c:v>
                </c:pt>
                <c:pt idx="2">
                  <c:v>55</c:v>
                </c:pt>
                <c:pt idx="3">
                  <c:v>70</c:v>
                </c:pt>
                <c:pt idx="4">
                  <c:v>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4A3-452C-8021-C2A6CA2CEF9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55</c:v>
                </c:pt>
                <c:pt idx="1">
                  <c:v>50</c:v>
                </c:pt>
                <c:pt idx="2">
                  <c:v>40</c:v>
                </c:pt>
                <c:pt idx="3">
                  <c:v>25</c:v>
                </c:pt>
                <c:pt idx="4">
                  <c:v>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4A3-452C-8021-C2A6CA2CEF9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10</c:v>
                </c:pt>
                <c:pt idx="1">
                  <c:v>10</c:v>
                </c:pt>
                <c:pt idx="2">
                  <c:v>5</c:v>
                </c:pt>
                <c:pt idx="3">
                  <c:v>5</c:v>
                </c:pt>
                <c:pt idx="4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4A3-452C-8021-C2A6CA2CEF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5287040"/>
        <c:axId val="145289216"/>
      </c:lineChart>
      <c:catAx>
        <c:axId val="1452870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45289216"/>
        <c:crosses val="autoZero"/>
        <c:auto val="1"/>
        <c:lblAlgn val="ctr"/>
        <c:lblOffset val="100"/>
        <c:noMultiLvlLbl val="0"/>
      </c:catAx>
      <c:valAx>
        <c:axId val="1452892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528704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30</c:v>
                </c:pt>
                <c:pt idx="1">
                  <c:v>45</c:v>
                </c:pt>
                <c:pt idx="2">
                  <c:v>60</c:v>
                </c:pt>
                <c:pt idx="3">
                  <c:v>75</c:v>
                </c:pt>
                <c:pt idx="4">
                  <c:v>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85A-44E5-BEE5-50CAF8B5214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60</c:v>
                </c:pt>
                <c:pt idx="1">
                  <c:v>50</c:v>
                </c:pt>
                <c:pt idx="2">
                  <c:v>40</c:v>
                </c:pt>
                <c:pt idx="3">
                  <c:v>25</c:v>
                </c:pt>
                <c:pt idx="4">
                  <c:v>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85A-44E5-BEE5-50CAF8B5214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10</c:v>
                </c:pt>
                <c:pt idx="1">
                  <c:v>5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85A-44E5-BEE5-50CAF8B521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7273216"/>
        <c:axId val="147301504"/>
      </c:lineChart>
      <c:catAx>
        <c:axId val="1472732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47301504"/>
        <c:crosses val="autoZero"/>
        <c:auto val="1"/>
        <c:lblAlgn val="ctr"/>
        <c:lblOffset val="100"/>
        <c:noMultiLvlLbl val="0"/>
      </c:catAx>
      <c:valAx>
        <c:axId val="1473015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727321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1355</Words>
  <Characters>7726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korznikovaem@mail.ru</cp:lastModifiedBy>
  <cp:revision>12</cp:revision>
  <dcterms:created xsi:type="dcterms:W3CDTF">2026-09-28T13:53:00Z</dcterms:created>
  <dcterms:modified xsi:type="dcterms:W3CDTF">2026-09-29T18:29:00Z</dcterms:modified>
</cp:coreProperties>
</file>